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BDD" w:rsidRDefault="00680BDD" w:rsidP="00680BDD">
      <w:pPr>
        <w:rPr>
          <w:sz w:val="32"/>
        </w:rPr>
      </w:pPr>
      <w:r w:rsidRPr="0063447B">
        <w:rPr>
          <w:sz w:val="32"/>
        </w:rPr>
        <w:t xml:space="preserve">Multimedijska mentalna mapa – </w:t>
      </w:r>
      <w:r>
        <w:rPr>
          <w:sz w:val="32"/>
        </w:rPr>
        <w:t xml:space="preserve">Temeljni zakon gibanja </w:t>
      </w:r>
      <w:r w:rsidRPr="0063447B">
        <w:rPr>
          <w:sz w:val="32"/>
        </w:rPr>
        <w:t xml:space="preserve"> </w:t>
      </w:r>
    </w:p>
    <w:p w:rsidR="00311635" w:rsidRDefault="00311635">
      <w:hyperlink r:id="rId4" w:history="1">
        <w:r w:rsidR="00680BDD" w:rsidRPr="00EA488B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https://edu.glogster.com/glog/temeljni-zakon-gibanja/37l9nj3st66</w:t>
        </w:r>
      </w:hyperlink>
    </w:p>
    <w:p w:rsidR="00311635" w:rsidRPr="00311635" w:rsidRDefault="00311635" w:rsidP="00311635"/>
    <w:p w:rsidR="00311635" w:rsidRDefault="00311635" w:rsidP="00311635"/>
    <w:p w:rsidR="005D3FEE" w:rsidRPr="00311635" w:rsidRDefault="00311635" w:rsidP="00311635">
      <w:r>
        <w:rPr>
          <w:noProof/>
          <w:lang w:eastAsia="hr-HR"/>
        </w:rPr>
        <w:drawing>
          <wp:inline distT="0" distB="0" distL="0" distR="0" wp14:anchorId="4E766EC0" wp14:editId="44D0C4C2">
            <wp:extent cx="5760720" cy="426910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69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D3FEE" w:rsidRPr="003116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BDD"/>
    <w:rsid w:val="00311635"/>
    <w:rsid w:val="005D3FEE"/>
    <w:rsid w:val="0068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264A31-63FE-491F-B001-D98B492B6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0BD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680BDD"/>
    <w:rPr>
      <w:color w:val="0563C1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31163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edu.glogster.com/glog/temeljni-zakon-gibanja/37l9nj3st66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2021-01-28T06:12:00Z</dcterms:created>
  <dcterms:modified xsi:type="dcterms:W3CDTF">2021-01-28T06:40:00Z</dcterms:modified>
</cp:coreProperties>
</file>